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02C5" w14:textId="77777777" w:rsidR="00390C59" w:rsidRPr="00030B37" w:rsidRDefault="00390C59" w:rsidP="00390C59">
      <w:pPr>
        <w:ind w:left="2160" w:firstLine="720"/>
        <w:rPr>
          <w:b/>
          <w:sz w:val="26"/>
          <w:szCs w:val="26"/>
        </w:rPr>
      </w:pPr>
      <w:r w:rsidRPr="00030B37">
        <w:rPr>
          <w:b/>
          <w:sz w:val="26"/>
          <w:szCs w:val="26"/>
        </w:rPr>
        <w:t>Lottery Recipient Retention Requirements</w:t>
      </w:r>
    </w:p>
    <w:p w14:paraId="1EC9325C" w14:textId="77777777" w:rsidR="00390C59" w:rsidRPr="00030B37" w:rsidRDefault="00390C59" w:rsidP="00390C59">
      <w:pPr>
        <w:rPr>
          <w:sz w:val="16"/>
          <w:szCs w:val="16"/>
          <w:u w:val="single"/>
        </w:rPr>
      </w:pPr>
    </w:p>
    <w:p w14:paraId="279DB164" w14:textId="08B1BA1F" w:rsidR="00390C59" w:rsidRPr="00030B37" w:rsidRDefault="00390C59" w:rsidP="00390C59">
      <w:pPr>
        <w:rPr>
          <w:b/>
          <w:i/>
          <w:sz w:val="22"/>
          <w:szCs w:val="22"/>
          <w:u w:val="single"/>
        </w:rPr>
      </w:pPr>
      <w:r w:rsidRPr="00030B37">
        <w:rPr>
          <w:sz w:val="22"/>
          <w:szCs w:val="22"/>
        </w:rPr>
        <w:t>Students must be in a degree</w:t>
      </w:r>
      <w:r w:rsidR="00511F90" w:rsidRPr="00030B37">
        <w:rPr>
          <w:sz w:val="22"/>
          <w:szCs w:val="22"/>
        </w:rPr>
        <w:t>-</w:t>
      </w:r>
      <w:r w:rsidRPr="00030B37">
        <w:rPr>
          <w:sz w:val="22"/>
          <w:szCs w:val="22"/>
        </w:rPr>
        <w:t>seeking program; certificate programs are not eligible</w:t>
      </w:r>
      <w:r w:rsidRPr="00030B37">
        <w:rPr>
          <w:b/>
          <w:i/>
          <w:sz w:val="22"/>
          <w:szCs w:val="22"/>
        </w:rPr>
        <w:t>.</w:t>
      </w:r>
    </w:p>
    <w:p w14:paraId="67AB051E" w14:textId="77777777" w:rsidR="00390C59" w:rsidRPr="001C1694" w:rsidRDefault="00390C59" w:rsidP="00390C59">
      <w:pPr>
        <w:rPr>
          <w:b/>
          <w:i/>
          <w:sz w:val="16"/>
          <w:szCs w:val="16"/>
          <w:u w:val="single"/>
        </w:rPr>
      </w:pPr>
    </w:p>
    <w:p w14:paraId="26F04E28" w14:textId="77777777" w:rsidR="00390C59" w:rsidRPr="00743D12" w:rsidRDefault="00390C59" w:rsidP="00390C59">
      <w:pPr>
        <w:rPr>
          <w:b/>
          <w:i/>
          <w:u w:val="single"/>
        </w:rPr>
      </w:pPr>
      <w:r w:rsidRPr="00743D12">
        <w:rPr>
          <w:b/>
          <w:i/>
          <w:u w:val="single"/>
        </w:rPr>
        <w:t>Lottery Retention Standards</w:t>
      </w:r>
    </w:p>
    <w:p w14:paraId="6BF30A7A" w14:textId="77777777" w:rsidR="00390C59" w:rsidRPr="001C1694" w:rsidRDefault="00390C59" w:rsidP="00390C59">
      <w:pPr>
        <w:rPr>
          <w:sz w:val="16"/>
          <w:szCs w:val="16"/>
          <w:u w:val="single"/>
        </w:rPr>
      </w:pPr>
    </w:p>
    <w:p w14:paraId="65E5E221" w14:textId="77777777" w:rsidR="00390C59" w:rsidRPr="00030B37" w:rsidRDefault="00390C59" w:rsidP="00390C59">
      <w:pPr>
        <w:rPr>
          <w:sz w:val="22"/>
          <w:szCs w:val="22"/>
        </w:rPr>
      </w:pPr>
      <w:r w:rsidRPr="00030B37">
        <w:rPr>
          <w:sz w:val="22"/>
          <w:szCs w:val="22"/>
        </w:rPr>
        <w:t>In order to continue receiving the Lottery scholarship, students must meet the following criteria:</w:t>
      </w:r>
    </w:p>
    <w:p w14:paraId="3F20F6E9" w14:textId="77777777" w:rsidR="00390C59" w:rsidRPr="00030B37" w:rsidRDefault="00390C59" w:rsidP="00390C59">
      <w:pPr>
        <w:rPr>
          <w:sz w:val="16"/>
          <w:szCs w:val="16"/>
          <w:u w:val="single"/>
        </w:rPr>
      </w:pPr>
    </w:p>
    <w:p w14:paraId="6EAD2A33" w14:textId="77777777" w:rsidR="00390C59" w:rsidRPr="00030B37" w:rsidRDefault="00390C59" w:rsidP="00390C59">
      <w:pPr>
        <w:rPr>
          <w:sz w:val="22"/>
          <w:szCs w:val="22"/>
        </w:rPr>
      </w:pPr>
      <w:r w:rsidRPr="00030B37">
        <w:rPr>
          <w:sz w:val="22"/>
          <w:szCs w:val="22"/>
        </w:rPr>
        <w:t>Student must meet the institution’s SAP (Satisfactory Academic Progress) standards for each term.</w:t>
      </w:r>
    </w:p>
    <w:p w14:paraId="0438D367" w14:textId="77777777" w:rsidR="00390C59" w:rsidRPr="00030B37" w:rsidRDefault="00390C59" w:rsidP="00390C59">
      <w:pPr>
        <w:rPr>
          <w:sz w:val="16"/>
          <w:szCs w:val="16"/>
        </w:rPr>
      </w:pPr>
    </w:p>
    <w:p w14:paraId="1312C70D" w14:textId="77777777" w:rsidR="00390C59" w:rsidRPr="00030B37" w:rsidRDefault="00390C59" w:rsidP="00511F90">
      <w:pPr>
        <w:spacing w:line="240" w:lineRule="auto"/>
        <w:ind w:left="14" w:hanging="14"/>
        <w:rPr>
          <w:sz w:val="22"/>
          <w:szCs w:val="22"/>
        </w:rPr>
      </w:pPr>
      <w:r w:rsidRPr="00030B37">
        <w:rPr>
          <w:sz w:val="22"/>
          <w:szCs w:val="22"/>
        </w:rPr>
        <w:t>GPA Eligibility will be reviewed by the institution at the end of the semesters in which the student has attempted a total of 24, 48, 72, 96, and 120 semester hours:</w:t>
      </w:r>
    </w:p>
    <w:p w14:paraId="526AECC7" w14:textId="77777777" w:rsidR="00390C59" w:rsidRPr="00030B37" w:rsidRDefault="00390C59" w:rsidP="00511F90">
      <w:pPr>
        <w:numPr>
          <w:ilvl w:val="0"/>
          <w:numId w:val="1"/>
        </w:numPr>
        <w:spacing w:before="120" w:after="100" w:afterAutospacing="1" w:line="240" w:lineRule="auto"/>
        <w:rPr>
          <w:color w:val="333333"/>
          <w:sz w:val="22"/>
          <w:szCs w:val="22"/>
        </w:rPr>
      </w:pPr>
      <w:r w:rsidRPr="00030B37">
        <w:rPr>
          <w:color w:val="333333"/>
          <w:sz w:val="22"/>
          <w:szCs w:val="22"/>
        </w:rPr>
        <w:t>Must have a minimum cumulative GPA of 2.75 after 24 and 48 attempted semester hours; AND</w:t>
      </w:r>
    </w:p>
    <w:p w14:paraId="6B0A6AD4" w14:textId="77777777" w:rsidR="00390C59" w:rsidRPr="00030B37" w:rsidRDefault="00390C59" w:rsidP="00390C59">
      <w:pPr>
        <w:numPr>
          <w:ilvl w:val="0"/>
          <w:numId w:val="1"/>
        </w:numPr>
        <w:spacing w:before="100" w:beforeAutospacing="1" w:after="100" w:afterAutospacing="1" w:line="240" w:lineRule="auto"/>
        <w:rPr>
          <w:color w:val="333333"/>
          <w:sz w:val="22"/>
          <w:szCs w:val="22"/>
        </w:rPr>
      </w:pPr>
      <w:r w:rsidRPr="00030B37">
        <w:rPr>
          <w:color w:val="333333"/>
          <w:sz w:val="22"/>
          <w:szCs w:val="22"/>
        </w:rPr>
        <w:t>Must have a minimum cumulative GPA of 3.0 after 72, 96, and any subsequent multiples of 24 attempted semester hours thereafter; OR</w:t>
      </w:r>
    </w:p>
    <w:p w14:paraId="09B12D5F" w14:textId="04B06D41" w:rsidR="00390C59" w:rsidRPr="00030B37" w:rsidRDefault="00390C59" w:rsidP="00390C59">
      <w:pPr>
        <w:numPr>
          <w:ilvl w:val="0"/>
          <w:numId w:val="1"/>
        </w:numPr>
        <w:spacing w:before="100" w:beforeAutospacing="1" w:after="100" w:afterAutospacing="1" w:line="240" w:lineRule="auto"/>
        <w:rPr>
          <w:color w:val="333333"/>
          <w:sz w:val="22"/>
          <w:szCs w:val="22"/>
        </w:rPr>
      </w:pPr>
      <w:r w:rsidRPr="00030B37">
        <w:rPr>
          <w:color w:val="333333"/>
          <w:sz w:val="22"/>
          <w:szCs w:val="22"/>
        </w:rPr>
        <w:t>Must have between a 2.75 – 2.99 cumulative GPA after 72, 96, and any subsequent multiples of 24 attempted semester hours thereafter and have a semester GPA of at least a 3.0 in the semester in which the student attempted 72, 96, and any subsequent multiples of 24 attempted semester hours thereafter</w:t>
      </w:r>
      <w:r w:rsidR="00511F90" w:rsidRPr="00030B37">
        <w:rPr>
          <w:color w:val="333333"/>
          <w:sz w:val="22"/>
          <w:szCs w:val="22"/>
        </w:rPr>
        <w:t>.</w:t>
      </w:r>
      <w:r w:rsidRPr="00030B37">
        <w:rPr>
          <w:color w:val="333333"/>
          <w:sz w:val="22"/>
          <w:szCs w:val="22"/>
        </w:rPr>
        <w:t xml:space="preserve"> (The student will be reviewed on a semester-by-semester basis and must maintain full-time enrollment</w:t>
      </w:r>
      <w:r w:rsidR="00511F90" w:rsidRPr="00030B37">
        <w:rPr>
          <w:color w:val="333333"/>
          <w:sz w:val="22"/>
          <w:szCs w:val="22"/>
        </w:rPr>
        <w:t>.</w:t>
      </w:r>
      <w:r w:rsidRPr="00030B37">
        <w:rPr>
          <w:color w:val="333333"/>
          <w:sz w:val="22"/>
          <w:szCs w:val="22"/>
        </w:rPr>
        <w:t>)</w:t>
      </w:r>
    </w:p>
    <w:p w14:paraId="6D264DC8" w14:textId="07138EDD" w:rsidR="00390C59" w:rsidRPr="00030B37" w:rsidRDefault="00390C59" w:rsidP="00511F90">
      <w:pPr>
        <w:numPr>
          <w:ilvl w:val="0"/>
          <w:numId w:val="1"/>
        </w:numPr>
        <w:spacing w:before="100" w:beforeAutospacing="1" w:after="120" w:line="240" w:lineRule="auto"/>
        <w:rPr>
          <w:color w:val="333333"/>
          <w:sz w:val="22"/>
          <w:szCs w:val="22"/>
        </w:rPr>
      </w:pPr>
      <w:r w:rsidRPr="00030B37">
        <w:rPr>
          <w:color w:val="333333"/>
          <w:sz w:val="22"/>
          <w:szCs w:val="22"/>
        </w:rPr>
        <w:t>If a student ceases to be academically eligible for the HOPE Scholarship, the student may regain the award one-time only.</w:t>
      </w:r>
      <w:r w:rsidR="00240CBA" w:rsidRPr="00030B37">
        <w:rPr>
          <w:color w:val="333333"/>
          <w:sz w:val="22"/>
          <w:szCs w:val="22"/>
        </w:rPr>
        <w:t xml:space="preserve"> T</w:t>
      </w:r>
      <w:r w:rsidRPr="00030B37">
        <w:rPr>
          <w:color w:val="333333"/>
          <w:sz w:val="22"/>
          <w:szCs w:val="22"/>
        </w:rPr>
        <w:t>he award may be re-established once the student meets any of the above criteria and continues to meet non-academic requirements</w:t>
      </w:r>
    </w:p>
    <w:p w14:paraId="7182DB4D" w14:textId="77777777" w:rsidR="00390C59" w:rsidRPr="00030B37" w:rsidRDefault="00390C59" w:rsidP="00511F90">
      <w:pPr>
        <w:spacing w:before="120" w:after="120"/>
        <w:ind w:left="14" w:hanging="14"/>
        <w:rPr>
          <w:color w:val="333333"/>
          <w:sz w:val="22"/>
          <w:szCs w:val="22"/>
        </w:rPr>
      </w:pPr>
      <w:r w:rsidRPr="00030B37">
        <w:rPr>
          <w:color w:val="333333"/>
          <w:sz w:val="22"/>
          <w:szCs w:val="22"/>
        </w:rPr>
        <w:t>Student must be continuously enrolled at an eligible postsecondary institution in the fall and spring semesters and maintain satisfactory academic progress.</w:t>
      </w:r>
    </w:p>
    <w:p w14:paraId="44241DAC" w14:textId="35E90DD3" w:rsidR="00390C59" w:rsidRPr="00030B37" w:rsidRDefault="00390C59" w:rsidP="00511F90">
      <w:pPr>
        <w:spacing w:before="120" w:after="120"/>
        <w:ind w:left="14" w:hanging="14"/>
        <w:rPr>
          <w:color w:val="333333"/>
          <w:sz w:val="22"/>
          <w:szCs w:val="22"/>
        </w:rPr>
      </w:pPr>
      <w:r w:rsidRPr="00030B37">
        <w:rPr>
          <w:color w:val="333333"/>
          <w:sz w:val="22"/>
          <w:szCs w:val="22"/>
        </w:rPr>
        <w:t>For students who started receiving Lottery prior to fall 2009, eligibility terminates after 5 years or a bachelor’s degree is obtained, whichever comes first.</w:t>
      </w:r>
      <w:r w:rsidR="00240CBA" w:rsidRPr="00030B37">
        <w:rPr>
          <w:color w:val="333333"/>
          <w:sz w:val="22"/>
          <w:szCs w:val="22"/>
        </w:rPr>
        <w:t xml:space="preserve"> </w:t>
      </w:r>
      <w:r w:rsidRPr="00030B37">
        <w:rPr>
          <w:color w:val="333333"/>
          <w:sz w:val="22"/>
          <w:szCs w:val="22"/>
        </w:rPr>
        <w:t>For students who started receiving Lottery fall 2009 and after, eligibility terminates after 5 years, bachelor’s degree is obtained, or the student has attempted 120 hours, whichever comes first.</w:t>
      </w:r>
    </w:p>
    <w:p w14:paraId="38931D56" w14:textId="77777777" w:rsidR="00390C59" w:rsidRDefault="00390C59" w:rsidP="00390C59">
      <w:r w:rsidRPr="00030B37">
        <w:rPr>
          <w:sz w:val="22"/>
          <w:szCs w:val="22"/>
        </w:rPr>
        <w:t>Students must maintain their enrollment status as of the 14</w:t>
      </w:r>
      <w:r w:rsidRPr="00030B37">
        <w:rPr>
          <w:sz w:val="22"/>
          <w:szCs w:val="22"/>
          <w:vertAlign w:val="superscript"/>
        </w:rPr>
        <w:t>th</w:t>
      </w:r>
      <w:r w:rsidRPr="00030B37">
        <w:rPr>
          <w:sz w:val="22"/>
          <w:szCs w:val="22"/>
        </w:rPr>
        <w:t xml:space="preserve"> day of the term. </w:t>
      </w:r>
      <w:r w:rsidRPr="00030B37">
        <w:rPr>
          <w:b/>
          <w:i/>
          <w:sz w:val="22"/>
          <w:szCs w:val="22"/>
        </w:rPr>
        <w:t>Note:</w:t>
      </w:r>
      <w:r w:rsidRPr="00030B37">
        <w:rPr>
          <w:sz w:val="22"/>
          <w:szCs w:val="22"/>
        </w:rPr>
        <w:t xml:space="preserve"> In order to ensure as many students as possible retain the Lottery scholarship, WSCC has established the 14</w:t>
      </w:r>
      <w:r w:rsidRPr="00030B37">
        <w:rPr>
          <w:sz w:val="22"/>
          <w:szCs w:val="22"/>
          <w:vertAlign w:val="superscript"/>
        </w:rPr>
        <w:t>th</w:t>
      </w:r>
      <w:r w:rsidRPr="00030B37">
        <w:rPr>
          <w:sz w:val="22"/>
          <w:szCs w:val="22"/>
        </w:rPr>
        <w:t xml:space="preserve"> day of each term as the census date for determining eligibility. Thus, students may adjust their schedule prior to the 14</w:t>
      </w:r>
      <w:r w:rsidRPr="00030B37">
        <w:rPr>
          <w:sz w:val="22"/>
          <w:szCs w:val="22"/>
          <w:vertAlign w:val="superscript"/>
        </w:rPr>
        <w:t>th</w:t>
      </w:r>
      <w:r w:rsidRPr="00030B37">
        <w:rPr>
          <w:sz w:val="22"/>
          <w:szCs w:val="22"/>
        </w:rPr>
        <w:t xml:space="preserve"> day without losing their scholarship for future terms. Failure to complete all courses enrolled as of the 14th day could result in the loss of the Lottery scholarship. Please check with the Financial Aid office before officially, or unofficially, changing your enrollment status.</w:t>
      </w:r>
    </w:p>
    <w:p w14:paraId="7ED93B83" w14:textId="77777777" w:rsidR="00390C59" w:rsidRPr="00511F90" w:rsidRDefault="00390C59" w:rsidP="00390C59">
      <w:pPr>
        <w:rPr>
          <w:sz w:val="12"/>
          <w:szCs w:val="12"/>
        </w:rPr>
      </w:pPr>
    </w:p>
    <w:p w14:paraId="6ECD1788" w14:textId="77777777" w:rsidR="00390C59" w:rsidRPr="00743D12" w:rsidRDefault="00390C59" w:rsidP="00390C59">
      <w:pPr>
        <w:rPr>
          <w:b/>
          <w:i/>
          <w:u w:val="single"/>
        </w:rPr>
      </w:pPr>
      <w:r w:rsidRPr="00743D12">
        <w:rPr>
          <w:b/>
          <w:i/>
          <w:u w:val="single"/>
        </w:rPr>
        <w:t>Option to Regain Lottery Scholarship (except Merit) - Available One time only</w:t>
      </w:r>
    </w:p>
    <w:p w14:paraId="4D0CC1DA" w14:textId="77777777" w:rsidR="00390C59" w:rsidRPr="00511F90" w:rsidRDefault="00390C59" w:rsidP="00390C59">
      <w:pPr>
        <w:rPr>
          <w:sz w:val="12"/>
          <w:szCs w:val="12"/>
          <w:u w:val="single"/>
        </w:rPr>
      </w:pPr>
    </w:p>
    <w:p w14:paraId="7D75B55D" w14:textId="48C43889" w:rsidR="00390C59" w:rsidRPr="00030B37" w:rsidRDefault="00390C59" w:rsidP="00390C59">
      <w:pPr>
        <w:rPr>
          <w:sz w:val="22"/>
          <w:szCs w:val="22"/>
        </w:rPr>
      </w:pPr>
      <w:r w:rsidRPr="00030B37">
        <w:rPr>
          <w:sz w:val="22"/>
          <w:szCs w:val="22"/>
        </w:rPr>
        <w:t>This option allows students who lost their lottery</w:t>
      </w:r>
      <w:r w:rsidR="00511F90" w:rsidRPr="00030B37">
        <w:rPr>
          <w:sz w:val="22"/>
          <w:szCs w:val="22"/>
        </w:rPr>
        <w:t xml:space="preserve"> </w:t>
      </w:r>
      <w:r w:rsidRPr="00030B37">
        <w:rPr>
          <w:sz w:val="22"/>
          <w:szCs w:val="22"/>
        </w:rPr>
        <w:t>due to GPA the opportunity to regain it by reaching the required cumulative GPA at any subsequent benchmarks. This does include remedial hours.</w:t>
      </w:r>
    </w:p>
    <w:p w14:paraId="27BBA394" w14:textId="77777777" w:rsidR="00390C59" w:rsidRPr="00030B37" w:rsidRDefault="00390C59" w:rsidP="00390C59">
      <w:pPr>
        <w:rPr>
          <w:sz w:val="16"/>
          <w:szCs w:val="16"/>
        </w:rPr>
      </w:pPr>
    </w:p>
    <w:p w14:paraId="647F22BB" w14:textId="2AB9B44A" w:rsidR="00390C59" w:rsidRDefault="00390C59" w:rsidP="00390C59">
      <w:r w:rsidRPr="00030B37">
        <w:rPr>
          <w:sz w:val="22"/>
          <w:szCs w:val="22"/>
        </w:rPr>
        <w:t>Awards are not retroactive. The student will regain eligibility the first term after they have achieved the required GPA. Students must also stay continuously enrolled and not have changed enrollment status (example: dropped from full-time to part-time) in a term without written prior approval from the Financial Aid Office. Please check with the Financial Aid office prior to withdrawing or dropping a course</w:t>
      </w:r>
      <w:r>
        <w:t xml:space="preserve">. </w:t>
      </w:r>
    </w:p>
    <w:p w14:paraId="7C644216" w14:textId="77777777" w:rsidR="00390C59" w:rsidRPr="00511F90" w:rsidRDefault="00390C59" w:rsidP="00390C59">
      <w:pPr>
        <w:rPr>
          <w:b/>
          <w:i/>
          <w:sz w:val="12"/>
          <w:szCs w:val="12"/>
        </w:rPr>
      </w:pPr>
    </w:p>
    <w:p w14:paraId="2D48443F" w14:textId="77777777" w:rsidR="00390C59" w:rsidRPr="00743D12" w:rsidRDefault="00390C59" w:rsidP="00390C59">
      <w:pPr>
        <w:rPr>
          <w:b/>
          <w:i/>
          <w:u w:val="single"/>
        </w:rPr>
      </w:pPr>
      <w:r w:rsidRPr="00743D12">
        <w:rPr>
          <w:b/>
          <w:i/>
          <w:u w:val="single"/>
        </w:rPr>
        <w:t xml:space="preserve">Option to Repeat One Class </w:t>
      </w:r>
    </w:p>
    <w:p w14:paraId="486F0146" w14:textId="77777777" w:rsidR="00390C59" w:rsidRPr="00511F90" w:rsidRDefault="00390C59" w:rsidP="00390C59">
      <w:pPr>
        <w:rPr>
          <w:sz w:val="12"/>
          <w:szCs w:val="12"/>
        </w:rPr>
      </w:pPr>
    </w:p>
    <w:p w14:paraId="6590B2D8" w14:textId="31465087" w:rsidR="00390C59" w:rsidRPr="00030B37" w:rsidRDefault="00390C59" w:rsidP="00390C59">
      <w:pPr>
        <w:rPr>
          <w:b/>
          <w:sz w:val="22"/>
          <w:szCs w:val="22"/>
        </w:rPr>
      </w:pPr>
      <w:r w:rsidRPr="00030B37">
        <w:rPr>
          <w:sz w:val="22"/>
          <w:szCs w:val="22"/>
        </w:rPr>
        <w:t xml:space="preserve">Students receiving the Lottery scholarship have a </w:t>
      </w:r>
      <w:r w:rsidRPr="00030B37">
        <w:rPr>
          <w:sz w:val="22"/>
          <w:szCs w:val="22"/>
          <w:u w:val="single"/>
        </w:rPr>
        <w:t>one-time</w:t>
      </w:r>
      <w:r w:rsidRPr="00030B37">
        <w:rPr>
          <w:sz w:val="22"/>
          <w:szCs w:val="22"/>
        </w:rPr>
        <w:t xml:space="preserve"> option to repeat a course and utilize only the higher of the two grades in the calculation of the postsecondary GPA. Credit hours count for both classes in determining attempted hours for benchmark purposes. </w:t>
      </w:r>
      <w:r w:rsidRPr="00030B37">
        <w:rPr>
          <w:b/>
          <w:sz w:val="22"/>
          <w:szCs w:val="22"/>
        </w:rPr>
        <w:t>It is the responsibility of the student to advise Financial Aid and Student Records when these options are exercised.</w:t>
      </w:r>
    </w:p>
    <w:p w14:paraId="7B29EF31" w14:textId="77777777" w:rsidR="00390C59" w:rsidRPr="001C1694" w:rsidRDefault="00390C59" w:rsidP="00390C59">
      <w:pPr>
        <w:rPr>
          <w:sz w:val="16"/>
          <w:szCs w:val="16"/>
        </w:rPr>
      </w:pPr>
    </w:p>
    <w:p w14:paraId="21D646EA" w14:textId="77777777" w:rsidR="00030B37" w:rsidRDefault="00390C59" w:rsidP="00030B37">
      <w:pPr>
        <w:rPr>
          <w:rFonts w:ascii="Tahoma" w:hAnsi="Tahoma" w:cs="Tahoma"/>
          <w:sz w:val="20"/>
          <w:szCs w:val="20"/>
        </w:rPr>
      </w:pPr>
      <w:r>
        <w:t xml:space="preserve">Additional information for Lottery is available at:    </w:t>
      </w:r>
      <w:hyperlink r:id="rId7" w:history="1">
        <w:r w:rsidR="00F03907" w:rsidRPr="002C028E">
          <w:rPr>
            <w:rStyle w:val="Hyperlink"/>
            <w:rFonts w:ascii="Tahoma" w:hAnsi="Tahoma" w:cs="Tahoma"/>
            <w:sz w:val="20"/>
            <w:szCs w:val="20"/>
          </w:rPr>
          <w:t>https://www.collegefortn.org/tennessee-hope-scholarship-3/</w:t>
        </w:r>
      </w:hyperlink>
    </w:p>
    <w:p w14:paraId="6ADFF009" w14:textId="1093F83B" w:rsidR="00D95742" w:rsidRPr="009265CC" w:rsidRDefault="009265CC" w:rsidP="009265CC">
      <w:pPr>
        <w:rPr>
          <w:rFonts w:ascii="Tahoma" w:hAnsi="Tahoma" w:cs="Tahoma"/>
          <w:sz w:val="13"/>
          <w:szCs w:val="13"/>
        </w:rPr>
      </w:pPr>
      <w:r w:rsidRPr="009265CC">
        <w:rPr>
          <w:rFonts w:ascii="Open Sans" w:hAnsi="Open Sans" w:cs="Open Sans"/>
          <w:color w:val="181818"/>
          <w:sz w:val="13"/>
          <w:szCs w:val="13"/>
          <w:shd w:val="clear" w:color="auto" w:fill="F5F5F5"/>
        </w:rPr>
        <w:t>WSCC 35600-23500 4/26</w:t>
      </w:r>
    </w:p>
    <w:sectPr w:rsidR="00D95742" w:rsidRPr="009265CC" w:rsidSect="00511F90">
      <w:head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DF8B" w14:textId="77777777" w:rsidR="00503726" w:rsidRDefault="00503726" w:rsidP="00075F6B">
      <w:pPr>
        <w:spacing w:line="240" w:lineRule="auto"/>
      </w:pPr>
      <w:r>
        <w:separator/>
      </w:r>
    </w:p>
  </w:endnote>
  <w:endnote w:type="continuationSeparator" w:id="0">
    <w:p w14:paraId="35A9D447" w14:textId="77777777" w:rsidR="00503726" w:rsidRDefault="00503726" w:rsidP="00075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D8A9" w14:textId="77777777" w:rsidR="00503726" w:rsidRDefault="00503726" w:rsidP="00075F6B">
      <w:pPr>
        <w:spacing w:line="240" w:lineRule="auto"/>
      </w:pPr>
      <w:r>
        <w:separator/>
      </w:r>
    </w:p>
  </w:footnote>
  <w:footnote w:type="continuationSeparator" w:id="0">
    <w:p w14:paraId="407AE5D4" w14:textId="77777777" w:rsidR="00503726" w:rsidRDefault="00503726" w:rsidP="00075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6316" w14:textId="0710C699" w:rsidR="00075F6B" w:rsidRDefault="00075F6B" w:rsidP="00075F6B">
    <w:pPr>
      <w:pStyle w:val="Header"/>
      <w:jc w:val="right"/>
    </w:pPr>
    <w:r>
      <w:rPr>
        <w:noProof/>
      </w:rPr>
      <w:drawing>
        <wp:inline distT="0" distB="0" distL="0" distR="0" wp14:anchorId="691F778E" wp14:editId="2E0F8025">
          <wp:extent cx="1975855" cy="340360"/>
          <wp:effectExtent l="0" t="0" r="5715" b="2540"/>
          <wp:docPr id="11" name="Picture 11" descr="The Walters State Community College Logo. "/>
          <wp:cNvGraphicFramePr/>
          <a:graphic xmlns:a="http://schemas.openxmlformats.org/drawingml/2006/main">
            <a:graphicData uri="http://schemas.openxmlformats.org/drawingml/2006/picture">
              <pic:pic xmlns:pic="http://schemas.openxmlformats.org/drawingml/2006/picture">
                <pic:nvPicPr>
                  <pic:cNvPr id="11" name="Picture 11" descr="The Walters State Community College Logo. "/>
                  <pic:cNvPicPr/>
                </pic:nvPicPr>
                <pic:blipFill>
                  <a:blip r:embed="rId1">
                    <a:extLst>
                      <a:ext uri="{28A0092B-C50C-407E-A947-70E740481C1C}">
                        <a14:useLocalDpi xmlns:a14="http://schemas.microsoft.com/office/drawing/2010/main" val="0"/>
                      </a:ext>
                    </a:extLst>
                  </a:blip>
                  <a:stretch>
                    <a:fillRect/>
                  </a:stretch>
                </pic:blipFill>
                <pic:spPr>
                  <a:xfrm>
                    <a:off x="0" y="0"/>
                    <a:ext cx="1975855" cy="340360"/>
                  </a:xfrm>
                  <a:prstGeom prst="rect">
                    <a:avLst/>
                  </a:prstGeom>
                </pic:spPr>
              </pic:pic>
            </a:graphicData>
          </a:graphic>
        </wp:inline>
      </w:drawing>
    </w:r>
  </w:p>
  <w:p w14:paraId="5EB2010F" w14:textId="77777777" w:rsidR="00075F6B" w:rsidRDefault="00075F6B" w:rsidP="00511F90">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26179"/>
    <w:multiLevelType w:val="multilevel"/>
    <w:tmpl w:val="860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45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42"/>
    <w:rsid w:val="00030B37"/>
    <w:rsid w:val="00075F6B"/>
    <w:rsid w:val="000E1352"/>
    <w:rsid w:val="00240CBA"/>
    <w:rsid w:val="00330557"/>
    <w:rsid w:val="00390C59"/>
    <w:rsid w:val="00436302"/>
    <w:rsid w:val="00493DAB"/>
    <w:rsid w:val="00503726"/>
    <w:rsid w:val="00503FAE"/>
    <w:rsid w:val="00511F90"/>
    <w:rsid w:val="006567A3"/>
    <w:rsid w:val="007B05FA"/>
    <w:rsid w:val="007B0A88"/>
    <w:rsid w:val="009265CC"/>
    <w:rsid w:val="0099611A"/>
    <w:rsid w:val="009E4311"/>
    <w:rsid w:val="00AA2EF4"/>
    <w:rsid w:val="00C61CAB"/>
    <w:rsid w:val="00CE3CD4"/>
    <w:rsid w:val="00D95742"/>
    <w:rsid w:val="00DC05D5"/>
    <w:rsid w:val="00E5720C"/>
    <w:rsid w:val="00F03907"/>
    <w:rsid w:val="00F05912"/>
    <w:rsid w:val="00F4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9C92"/>
  <w15:docId w15:val="{B1E85E43-777C-4336-AB76-E8B878EE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075F6B"/>
    <w:pPr>
      <w:tabs>
        <w:tab w:val="center" w:pos="4680"/>
        <w:tab w:val="right" w:pos="9360"/>
      </w:tabs>
      <w:spacing w:line="240" w:lineRule="auto"/>
    </w:pPr>
  </w:style>
  <w:style w:type="character" w:customStyle="1" w:styleId="HeaderChar">
    <w:name w:val="Header Char"/>
    <w:basedOn w:val="DefaultParagraphFont"/>
    <w:link w:val="Header"/>
    <w:uiPriority w:val="99"/>
    <w:rsid w:val="00075F6B"/>
    <w:rPr>
      <w:rFonts w:ascii="Times New Roman" w:eastAsia="Times New Roman" w:hAnsi="Times New Roman" w:cs="Times New Roman"/>
      <w:color w:val="000000"/>
    </w:rPr>
  </w:style>
  <w:style w:type="paragraph" w:styleId="Footer">
    <w:name w:val="footer"/>
    <w:basedOn w:val="Normal"/>
    <w:link w:val="FooterChar"/>
    <w:uiPriority w:val="99"/>
    <w:unhideWhenUsed/>
    <w:rsid w:val="00075F6B"/>
    <w:pPr>
      <w:tabs>
        <w:tab w:val="center" w:pos="4680"/>
        <w:tab w:val="right" w:pos="9360"/>
      </w:tabs>
      <w:spacing w:line="240" w:lineRule="auto"/>
    </w:pPr>
  </w:style>
  <w:style w:type="character" w:customStyle="1" w:styleId="FooterChar">
    <w:name w:val="Footer Char"/>
    <w:basedOn w:val="DefaultParagraphFont"/>
    <w:link w:val="Footer"/>
    <w:uiPriority w:val="99"/>
    <w:rsid w:val="00075F6B"/>
    <w:rPr>
      <w:rFonts w:ascii="Times New Roman" w:eastAsia="Times New Roman" w:hAnsi="Times New Roman" w:cs="Times New Roman"/>
      <w:color w:val="000000"/>
    </w:rPr>
  </w:style>
  <w:style w:type="character" w:styleId="Hyperlink">
    <w:name w:val="Hyperlink"/>
    <w:uiPriority w:val="99"/>
    <w:unhideWhenUsed/>
    <w:rsid w:val="00390C59"/>
    <w:rPr>
      <w:color w:val="0000FF"/>
      <w:u w:val="single"/>
    </w:rPr>
  </w:style>
  <w:style w:type="character" w:styleId="FollowedHyperlink">
    <w:name w:val="FollowedHyperlink"/>
    <w:basedOn w:val="DefaultParagraphFont"/>
    <w:uiPriority w:val="99"/>
    <w:semiHidden/>
    <w:unhideWhenUsed/>
    <w:rsid w:val="00511F90"/>
    <w:rPr>
      <w:color w:val="96607D" w:themeColor="followedHyperlink"/>
      <w:u w:val="single"/>
    </w:rPr>
  </w:style>
  <w:style w:type="character" w:styleId="UnresolvedMention">
    <w:name w:val="Unresolved Mention"/>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25830">
      <w:bodyDiv w:val="1"/>
      <w:marLeft w:val="0"/>
      <w:marRight w:val="0"/>
      <w:marTop w:val="0"/>
      <w:marBottom w:val="0"/>
      <w:divBdr>
        <w:top w:val="none" w:sz="0" w:space="0" w:color="auto"/>
        <w:left w:val="none" w:sz="0" w:space="0" w:color="auto"/>
        <w:bottom w:val="none" w:sz="0" w:space="0" w:color="auto"/>
        <w:right w:val="none" w:sz="0" w:space="0" w:color="auto"/>
      </w:divBdr>
    </w:div>
    <w:div w:id="1069503048">
      <w:bodyDiv w:val="1"/>
      <w:marLeft w:val="0"/>
      <w:marRight w:val="0"/>
      <w:marTop w:val="0"/>
      <w:marBottom w:val="0"/>
      <w:divBdr>
        <w:top w:val="none" w:sz="0" w:space="0" w:color="auto"/>
        <w:left w:val="none" w:sz="0" w:space="0" w:color="auto"/>
        <w:bottom w:val="none" w:sz="0" w:space="0" w:color="auto"/>
        <w:right w:val="none" w:sz="0" w:space="0" w:color="auto"/>
      </w:divBdr>
    </w:div>
    <w:div w:id="165984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llegefortn.org/tennessee-hope-scholarshi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570</Words>
  <Characters>3253</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McCrary, Scott S</dc:creator>
  <cp:keywords/>
  <cp:lastModifiedBy>Summerall, Dawn M</cp:lastModifiedBy>
  <cp:revision>5</cp:revision>
  <dcterms:created xsi:type="dcterms:W3CDTF">2026-04-01T19:28:00Z</dcterms:created>
  <dcterms:modified xsi:type="dcterms:W3CDTF">2026-04-06T15:12:00Z</dcterms:modified>
</cp:coreProperties>
</file>